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9376D" w:rsidRPr="00D9376D" w:rsidRDefault="00F525C2" w:rsidP="00D9376D">
      <w:pPr>
        <w:spacing w:after="0" w:line="240" w:lineRule="auto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1381125" cy="952500"/>
            <wp:effectExtent l="19050" t="0" r="9525" b="0"/>
            <wp:docPr id="4" name="Imagen 3" descr="ascon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ons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76" t="6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6D" w:rsidRDefault="00D9376D" w:rsidP="00D9376D">
      <w:pPr>
        <w:spacing w:after="0" w:line="240" w:lineRule="auto"/>
        <w:rPr>
          <w:b/>
          <w:noProof/>
          <w:color w:val="0033CC"/>
          <w:sz w:val="28"/>
          <w:szCs w:val="28"/>
          <w:lang w:eastAsia="es-CO"/>
        </w:rPr>
      </w:pPr>
    </w:p>
    <w:p w:rsidR="00D9376D" w:rsidRDefault="00D9376D" w:rsidP="00D9376D">
      <w:pPr>
        <w:spacing w:after="0" w:line="240" w:lineRule="auto"/>
        <w:jc w:val="right"/>
        <w:rPr>
          <w:b/>
          <w:noProof/>
          <w:color w:val="0033CC"/>
          <w:sz w:val="28"/>
          <w:szCs w:val="28"/>
          <w:lang w:eastAsia="es-CO"/>
        </w:rPr>
      </w:pPr>
      <w:r>
        <w:rPr>
          <w:b/>
          <w:noProof/>
          <w:color w:val="0033CC"/>
          <w:sz w:val="28"/>
          <w:szCs w:val="28"/>
          <w:lang w:eastAsia="es-CO"/>
        </w:rPr>
        <w:t xml:space="preserve">¿Cómo administrar sus recursos </w:t>
      </w:r>
    </w:p>
    <w:p w:rsidR="00BE2B20" w:rsidRDefault="00F23EF6" w:rsidP="00D9376D">
      <w:pPr>
        <w:spacing w:after="0" w:line="240" w:lineRule="auto"/>
        <w:jc w:val="right"/>
        <w:rPr>
          <w:b/>
          <w:noProof/>
          <w:color w:val="0033CC"/>
          <w:sz w:val="28"/>
          <w:szCs w:val="28"/>
          <w:lang w:eastAsia="es-CO"/>
        </w:rPr>
      </w:pPr>
      <w:r>
        <w:rPr>
          <w:noProof/>
          <w:color w:val="0033CC"/>
          <w:sz w:val="28"/>
          <w:szCs w:val="28"/>
          <w:lang w:eastAsia="es-CO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226.25pt;margin-top:14.1pt;width:76.9pt;height:38.25pt;z-index:251658240"/>
        </w:pict>
      </w:r>
      <w:r w:rsidR="00D9376D">
        <w:rPr>
          <w:b/>
          <w:noProof/>
          <w:color w:val="0033CC"/>
          <w:sz w:val="28"/>
          <w:szCs w:val="28"/>
          <w:lang w:eastAsia="es-CO"/>
        </w:rPr>
        <w:t>emocinales, sociales e intelectuales?</w:t>
      </w:r>
    </w:p>
    <w:p w:rsidR="001F7693" w:rsidRDefault="001F7693" w:rsidP="0036032D">
      <w:pPr>
        <w:spacing w:after="0" w:line="240" w:lineRule="auto"/>
        <w:jc w:val="right"/>
        <w:rPr>
          <w:noProof/>
          <w:color w:val="0033CC"/>
          <w:sz w:val="28"/>
          <w:szCs w:val="28"/>
          <w:lang w:eastAsia="es-CO"/>
        </w:rPr>
      </w:pPr>
    </w:p>
    <w:p w:rsidR="0036032D" w:rsidRPr="0036032D" w:rsidRDefault="0036032D" w:rsidP="0036032D">
      <w:pPr>
        <w:spacing w:after="0" w:line="240" w:lineRule="auto"/>
        <w:jc w:val="right"/>
        <w:rPr>
          <w:noProof/>
          <w:color w:val="0033CC"/>
          <w:sz w:val="28"/>
          <w:szCs w:val="28"/>
          <w:lang w:eastAsia="es-CO"/>
        </w:rPr>
      </w:pPr>
    </w:p>
    <w:p w:rsidR="001F7693" w:rsidRPr="0027477C" w:rsidRDefault="00D9376D" w:rsidP="00F23EF6">
      <w:pPr>
        <w:spacing w:after="0" w:line="240" w:lineRule="auto"/>
        <w:rPr>
          <w:i/>
          <w:noProof/>
          <w:color w:val="31849B" w:themeColor="accent5" w:themeShade="BF"/>
          <w:sz w:val="24"/>
          <w:szCs w:val="24"/>
          <w:lang w:eastAsia="es-CO"/>
        </w:rPr>
      </w:pPr>
      <w:r w:rsidRPr="0027477C">
        <w:rPr>
          <w:i/>
          <w:noProof/>
          <w:color w:val="31849B" w:themeColor="accent5" w:themeShade="BF"/>
          <w:sz w:val="24"/>
          <w:szCs w:val="24"/>
          <w:lang w:eastAsia="es-CO"/>
        </w:rPr>
        <w:t>Un artículo interesante para todos, especialmente empresarios y consultores</w:t>
      </w:r>
    </w:p>
    <w:p w:rsidR="00F525C2" w:rsidRDefault="00F525C2" w:rsidP="00CB043C">
      <w:pPr>
        <w:spacing w:after="0" w:line="240" w:lineRule="auto"/>
        <w:rPr>
          <w:b/>
          <w:noProof/>
          <w:sz w:val="28"/>
          <w:szCs w:val="28"/>
          <w:lang w:eastAsia="es-CO"/>
        </w:rPr>
      </w:pPr>
    </w:p>
    <w:p w:rsidR="00BE2B20" w:rsidRPr="00BE2B20" w:rsidRDefault="00D9376D" w:rsidP="00BE2B20">
      <w:pPr>
        <w:spacing w:after="0" w:line="240" w:lineRule="auto"/>
        <w:rPr>
          <w:i/>
          <w:sz w:val="28"/>
          <w:szCs w:val="28"/>
          <w:lang w:val="es-ES"/>
        </w:rPr>
      </w:pPr>
      <w:r>
        <w:rPr>
          <w:i/>
          <w:noProof/>
          <w:sz w:val="28"/>
          <w:szCs w:val="28"/>
          <w:lang w:eastAsia="es-CO"/>
        </w:rPr>
        <w:drawing>
          <wp:inline distT="0" distB="0" distL="0" distR="0">
            <wp:extent cx="3552825" cy="130492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03AE2" w:rsidRDefault="00E03AE2" w:rsidP="00E03AE2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:rsidR="00E03AE2" w:rsidRPr="0027477C" w:rsidRDefault="00E03AE2" w:rsidP="00E03AE2">
      <w:pPr>
        <w:spacing w:after="0" w:line="240" w:lineRule="auto"/>
        <w:jc w:val="both"/>
        <w:rPr>
          <w:b/>
          <w:color w:val="002060"/>
          <w:sz w:val="28"/>
          <w:szCs w:val="28"/>
          <w:lang w:val="es-ES"/>
        </w:rPr>
      </w:pPr>
      <w:r w:rsidRPr="0027477C">
        <w:rPr>
          <w:b/>
          <w:color w:val="002060"/>
          <w:sz w:val="28"/>
          <w:szCs w:val="28"/>
          <w:lang w:val="es-ES"/>
        </w:rPr>
        <w:t>La Empresa Personal</w:t>
      </w:r>
    </w:p>
    <w:p w:rsidR="00BE2B20" w:rsidRDefault="00E03AE2" w:rsidP="00E03AE2">
      <w:pPr>
        <w:spacing w:after="0" w:line="240" w:lineRule="auto"/>
        <w:jc w:val="both"/>
        <w:rPr>
          <w:sz w:val="24"/>
          <w:szCs w:val="24"/>
          <w:lang w:val="es-ES"/>
        </w:rPr>
      </w:pPr>
      <w:r w:rsidRPr="00E03AE2">
        <w:rPr>
          <w:sz w:val="24"/>
          <w:szCs w:val="24"/>
          <w:lang w:val="es-ES"/>
        </w:rPr>
        <w:t xml:space="preserve">El psicólogo y sociólogo argentino Manuel </w:t>
      </w:r>
      <w:proofErr w:type="spellStart"/>
      <w:r w:rsidRPr="00E03AE2">
        <w:rPr>
          <w:sz w:val="24"/>
          <w:szCs w:val="24"/>
          <w:lang w:val="es-ES"/>
        </w:rPr>
        <w:t>Schneer</w:t>
      </w:r>
      <w:proofErr w:type="spellEnd"/>
      <w:r w:rsidRPr="00E03AE2">
        <w:rPr>
          <w:sz w:val="24"/>
          <w:szCs w:val="24"/>
          <w:lang w:val="es-ES"/>
        </w:rPr>
        <w:t>, en su libro El Equilibrio del Éxito, recientemente</w:t>
      </w:r>
      <w:r>
        <w:rPr>
          <w:sz w:val="24"/>
          <w:szCs w:val="24"/>
          <w:lang w:val="es-ES"/>
        </w:rPr>
        <w:t xml:space="preserve"> editado por Editorial Norma,</w:t>
      </w:r>
      <w:r w:rsidRPr="00E03AE2">
        <w:rPr>
          <w:sz w:val="24"/>
          <w:szCs w:val="24"/>
          <w:lang w:val="es-ES"/>
        </w:rPr>
        <w:t xml:space="preserve"> enfoca</w:t>
      </w:r>
      <w:r>
        <w:rPr>
          <w:sz w:val="24"/>
          <w:szCs w:val="24"/>
          <w:lang w:val="es-ES"/>
        </w:rPr>
        <w:t xml:space="preserve"> al equilibrado,</w:t>
      </w:r>
      <w:r w:rsidRPr="00E03AE2">
        <w:rPr>
          <w:sz w:val="24"/>
          <w:szCs w:val="24"/>
          <w:lang w:val="es-ES"/>
        </w:rPr>
        <w:t xml:space="preserve"> en el equilibrio de todas </w:t>
      </w:r>
      <w:r>
        <w:rPr>
          <w:sz w:val="24"/>
          <w:szCs w:val="24"/>
          <w:lang w:val="es-ES"/>
        </w:rPr>
        <w:t>sus potencialidades.  Para ello plantea diez (10) claves para el óptimo desarrollo de la empresa personal.</w:t>
      </w:r>
    </w:p>
    <w:p w:rsidR="00E03AE2" w:rsidRDefault="00E03AE2" w:rsidP="00E03AE2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03AE2" w:rsidRPr="0027477C" w:rsidRDefault="00E03AE2" w:rsidP="00E03A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Tener un rumbo claro</w:t>
      </w:r>
    </w:p>
    <w:p w:rsidR="00E03AE2" w:rsidRDefault="00E03AE2" w:rsidP="00E03AE2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persona exitosa sabe que quiere y hacia dónde va, tiene un rumbo estratégico claramente definido.</w:t>
      </w:r>
    </w:p>
    <w:p w:rsidR="00E03AE2" w:rsidRDefault="00E03AE2" w:rsidP="00E03AE2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</w:p>
    <w:p w:rsidR="00E03AE2" w:rsidRPr="0027477C" w:rsidRDefault="00E03AE2" w:rsidP="00E03A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Focalizar la energía</w:t>
      </w:r>
    </w:p>
    <w:p w:rsidR="00DE5667" w:rsidRDefault="00DE5667" w:rsidP="00DE5667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Cómo dice el refrán: “el que mucho abarca poco aprieta”. Tenemos un monto de energía que es limitado, esto es importante saberlo, no todo se puede hacer. Se deben seleccionar las actividades más importantes y concentrar toda la energía en ellas.</w:t>
      </w:r>
    </w:p>
    <w:p w:rsidR="00DE5667" w:rsidRPr="0027477C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Ser proactivo ante cada situación</w:t>
      </w:r>
    </w:p>
    <w:p w:rsidR="00FA1ADE" w:rsidRDefault="00FA1ADE" w:rsidP="00FA1ADE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Hay que apuntarle a ser protagonistas y no espectadores. Existen tres tipos de personas: las que hacen que las cosas sucedan, las que miran las cosas suceder y las que se preguntan qué fue lo que pasó. El espectador es el que se pregunta qué pasó, pues está sentado cómodamente viendo cómo pasa la vida.</w:t>
      </w:r>
      <w:r w:rsidR="00131565">
        <w:rPr>
          <w:sz w:val="24"/>
          <w:szCs w:val="24"/>
          <w:lang w:val="es-ES"/>
        </w:rPr>
        <w:t xml:space="preserve"> Las personas exitosas en cambio, son emprendedoras y su acción se proyecta más allá de sus tareas específicas, transformándose en modelos para sus comunidades de pertenencia (laboral, empresarial, social, religiosa, etc.)</w:t>
      </w:r>
    </w:p>
    <w:p w:rsidR="00131565" w:rsidRPr="00FA1ADE" w:rsidRDefault="00131565" w:rsidP="00FA1ADE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</w:p>
    <w:p w:rsidR="00DE5667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Establecer buenas relaciones interpersonales</w:t>
      </w:r>
    </w:p>
    <w:p w:rsidR="0027477C" w:rsidRPr="0027477C" w:rsidRDefault="0027477C" w:rsidP="0027477C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Crear redes de comunicación con otras personas y desarrollar la capacidad de empatía (ponerse en el lugar del otro). La calidez y facilidad de expresión permiten negociar y ser convincentes.</w:t>
      </w:r>
    </w:p>
    <w:p w:rsidR="00131565" w:rsidRPr="0027477C" w:rsidRDefault="00131565" w:rsidP="00131565">
      <w:pPr>
        <w:pStyle w:val="Prrafodelista"/>
        <w:spacing w:after="0" w:line="240" w:lineRule="auto"/>
        <w:jc w:val="both"/>
        <w:rPr>
          <w:color w:val="002060"/>
          <w:sz w:val="24"/>
          <w:szCs w:val="24"/>
          <w:lang w:val="es-ES"/>
        </w:rPr>
      </w:pPr>
    </w:p>
    <w:p w:rsidR="00DE5667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No perder la visión ética y espiritual</w:t>
      </w:r>
      <w:r w:rsidR="0027477C">
        <w:rPr>
          <w:b/>
          <w:color w:val="002060"/>
          <w:sz w:val="24"/>
          <w:szCs w:val="24"/>
          <w:lang w:val="es-ES"/>
        </w:rPr>
        <w:t xml:space="preserve"> de las cosas</w:t>
      </w:r>
    </w:p>
    <w:p w:rsidR="0027477C" w:rsidRPr="0027477C" w:rsidRDefault="0027477C" w:rsidP="0027477C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camino del éxito no hay cabida para la frase “El fin justifica los medios”</w:t>
      </w:r>
      <w:r w:rsidR="00965D98">
        <w:rPr>
          <w:sz w:val="24"/>
          <w:szCs w:val="24"/>
          <w:lang w:val="es-ES"/>
        </w:rPr>
        <w:t xml:space="preserve"> para el dinero fácil ni para la corrupción. Una persona que sabe administrar su vida nunca debe anteponer la comodidad de los espacios interiores que permiten la trascendencia espiritual.</w:t>
      </w:r>
    </w:p>
    <w:p w:rsidR="0027477C" w:rsidRPr="0027477C" w:rsidRDefault="0027477C" w:rsidP="0027477C">
      <w:pPr>
        <w:pStyle w:val="Prrafodelista"/>
        <w:spacing w:after="0" w:line="240" w:lineRule="auto"/>
        <w:ind w:left="786"/>
        <w:jc w:val="both"/>
        <w:rPr>
          <w:color w:val="002060"/>
          <w:sz w:val="24"/>
          <w:szCs w:val="24"/>
          <w:lang w:val="es-ES"/>
        </w:rPr>
      </w:pPr>
    </w:p>
    <w:p w:rsidR="00DE5667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Manejar la inteligencia emocional</w:t>
      </w:r>
    </w:p>
    <w:p w:rsidR="00CB0A12" w:rsidRDefault="00965D98" w:rsidP="00CB0A12">
      <w:pPr>
        <w:pStyle w:val="Prrafodelista"/>
        <w:spacing w:after="0" w:line="240" w:lineRule="auto"/>
        <w:ind w:left="786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Establecer distancias adecuadas con los otros, respetando sus códigos y zonas de confort.</w:t>
      </w:r>
    </w:p>
    <w:p w:rsidR="00CB0A12" w:rsidRDefault="00CB0A12" w:rsidP="00CB0A12">
      <w:pPr>
        <w:pStyle w:val="Prrafodelista"/>
        <w:spacing w:after="0" w:line="240" w:lineRule="auto"/>
        <w:ind w:left="786"/>
        <w:jc w:val="both"/>
        <w:rPr>
          <w:color w:val="000000" w:themeColor="text1"/>
          <w:sz w:val="24"/>
          <w:szCs w:val="24"/>
          <w:lang w:val="es-ES"/>
        </w:rPr>
      </w:pPr>
    </w:p>
    <w:p w:rsidR="00DE5667" w:rsidRDefault="00DE5667" w:rsidP="00CB0A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Fuerza, voluntad y compromiso con los objetivos</w:t>
      </w:r>
    </w:p>
    <w:p w:rsidR="00965D98" w:rsidRDefault="00965D98" w:rsidP="00965D98">
      <w:pPr>
        <w:pStyle w:val="Prrafodelista"/>
        <w:spacing w:after="0" w:line="240" w:lineRule="auto"/>
        <w:ind w:left="786"/>
        <w:jc w:val="both"/>
        <w:rPr>
          <w:color w:val="002060"/>
          <w:sz w:val="24"/>
          <w:szCs w:val="24"/>
          <w:lang w:val="es-ES"/>
        </w:rPr>
      </w:pPr>
      <w:r>
        <w:rPr>
          <w:color w:val="002060"/>
          <w:sz w:val="24"/>
          <w:szCs w:val="24"/>
          <w:lang w:val="es-ES"/>
        </w:rPr>
        <w:t>Perseguir incansablemente los objetivos, comprometiéndose totalmente en lo que se hace y trasmitiendo alta energía en el entorno. No posponer nada. Así que no valen esas personas que viven aplazando el famoso lunes en el que empiezan la dieta o las que utilizan  la frase “déjeme estudiarlo”.</w:t>
      </w:r>
    </w:p>
    <w:p w:rsidR="00CB0A12" w:rsidRPr="00965D98" w:rsidRDefault="00CB0A12" w:rsidP="00965D98">
      <w:pPr>
        <w:pStyle w:val="Prrafodelista"/>
        <w:spacing w:after="0" w:line="240" w:lineRule="auto"/>
        <w:ind w:left="786"/>
        <w:jc w:val="both"/>
        <w:rPr>
          <w:color w:val="002060"/>
          <w:sz w:val="24"/>
          <w:szCs w:val="24"/>
          <w:lang w:val="es-ES"/>
        </w:rPr>
      </w:pPr>
    </w:p>
    <w:p w:rsidR="00DE5667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Tener velocidad de respuesta</w:t>
      </w:r>
    </w:p>
    <w:p w:rsidR="00965D98" w:rsidRDefault="00965D98" w:rsidP="00965D98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exitosos ven las cosas primero, monitorizan el contexto</w:t>
      </w:r>
      <w:r w:rsidR="00D70E6D">
        <w:rPr>
          <w:sz w:val="24"/>
          <w:szCs w:val="24"/>
          <w:lang w:val="es-ES"/>
        </w:rPr>
        <w:t xml:space="preserve"> para poder predecir, pasan rápidamente a la acción con alta velocidad de respuesta.  “Hay una anécdota muy conocida de un periodista que le pregunta a uno de los hombres más ricos del mundo, cómo hizo para tener tanto dinero. Y este le responde: ¿Ve esa silla? – el periodista dice  “SÍ” – “pues yo la vi primero”. Quien puede ver primero las cosas tiene una ventaja estratégica enorme”.</w:t>
      </w:r>
    </w:p>
    <w:p w:rsidR="00CB0A12" w:rsidRPr="00965D98" w:rsidRDefault="00CB0A12" w:rsidP="00965D98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</w:p>
    <w:p w:rsidR="00DE5667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Excelente relación con la tecnología</w:t>
      </w:r>
    </w:p>
    <w:p w:rsidR="00D70E6D" w:rsidRDefault="00D70E6D" w:rsidP="00D70E6D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exitosos no</w:t>
      </w:r>
      <w:r w:rsidR="00F23EF6">
        <w:rPr>
          <w:sz w:val="24"/>
          <w:szCs w:val="24"/>
          <w:lang w:val="es-ES"/>
        </w:rPr>
        <w:t xml:space="preserve"> le temen, al contrario, manejan</w:t>
      </w:r>
      <w:r>
        <w:rPr>
          <w:sz w:val="24"/>
          <w:szCs w:val="24"/>
          <w:lang w:val="es-ES"/>
        </w:rPr>
        <w:t xml:space="preserve"> eficazmente las innovaciones de todo tipo, los descubrimientos tecnológicos y pueden resolver creativamente las diferentes problemáticas de su actividad.</w:t>
      </w:r>
    </w:p>
    <w:p w:rsidR="00CB0A12" w:rsidRPr="00D70E6D" w:rsidRDefault="00CB0A12" w:rsidP="00D70E6D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</w:p>
    <w:p w:rsidR="00DE5667" w:rsidRDefault="00DE5667" w:rsidP="00DE56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es-ES"/>
        </w:rPr>
      </w:pPr>
      <w:r w:rsidRPr="0027477C">
        <w:rPr>
          <w:b/>
          <w:color w:val="002060"/>
          <w:sz w:val="24"/>
          <w:szCs w:val="24"/>
          <w:lang w:val="es-ES"/>
        </w:rPr>
        <w:t>Equilibrar proyecto profesional, laboral y personal</w:t>
      </w:r>
    </w:p>
    <w:p w:rsidR="001F2FFD" w:rsidRDefault="001F2FFD" w:rsidP="001F2FFD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alcanzar esto hay que tener equilibrada la balanza de posibilidades y ambiciones. “Si yo ambiciono demasiado y tengo pocas posibilidades, es muy difícil alcanzar todo, así que viviré frustrado, insatisfecho y resentido. ¡Cuidado! Mata más la insatisfacción que</w:t>
      </w:r>
      <w:r w:rsidR="00A076F3">
        <w:rPr>
          <w:sz w:val="24"/>
          <w:szCs w:val="24"/>
          <w:lang w:val="es-ES"/>
        </w:rPr>
        <w:t xml:space="preserve"> el tabaco. Y si sucede al revés, tener muchas posibilidades y pocas ambiciones, nos puede pasar como el tipo que tiene un </w:t>
      </w:r>
      <w:proofErr w:type="spellStart"/>
      <w:r w:rsidR="00A076F3" w:rsidRPr="003F6BC5">
        <w:rPr>
          <w:i/>
          <w:sz w:val="24"/>
          <w:szCs w:val="24"/>
          <w:lang w:val="es-ES"/>
        </w:rPr>
        <w:t>ferrari</w:t>
      </w:r>
      <w:proofErr w:type="spellEnd"/>
      <w:r w:rsidR="00A076F3">
        <w:rPr>
          <w:sz w:val="24"/>
          <w:szCs w:val="24"/>
          <w:lang w:val="es-ES"/>
        </w:rPr>
        <w:t xml:space="preserve"> para darle la vuelta al perro por la plaza”, dice Manuel </w:t>
      </w:r>
      <w:proofErr w:type="spellStart"/>
      <w:r w:rsidR="00A076F3">
        <w:rPr>
          <w:sz w:val="24"/>
          <w:szCs w:val="24"/>
          <w:lang w:val="es-ES"/>
        </w:rPr>
        <w:t>Schneer</w:t>
      </w:r>
      <w:proofErr w:type="spellEnd"/>
      <w:r w:rsidR="00A076F3">
        <w:rPr>
          <w:sz w:val="24"/>
          <w:szCs w:val="24"/>
          <w:lang w:val="es-ES"/>
        </w:rPr>
        <w:t>.</w:t>
      </w:r>
    </w:p>
    <w:p w:rsidR="00044738" w:rsidRDefault="00044738" w:rsidP="001F2FFD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</w:p>
    <w:p w:rsidR="00044738" w:rsidRDefault="00044738" w:rsidP="001F2FFD">
      <w:pPr>
        <w:pStyle w:val="Prrafodelista"/>
        <w:spacing w:after="0" w:line="240" w:lineRule="auto"/>
        <w:ind w:left="786"/>
        <w:jc w:val="both"/>
        <w:rPr>
          <w:sz w:val="24"/>
          <w:szCs w:val="24"/>
          <w:lang w:val="es-ES"/>
        </w:rPr>
      </w:pPr>
    </w:p>
    <w:p w:rsidR="00044738" w:rsidRPr="00624E2A" w:rsidRDefault="00044738" w:rsidP="00624E2A">
      <w:pPr>
        <w:pStyle w:val="Prrafodelista"/>
        <w:spacing w:after="0" w:line="240" w:lineRule="auto"/>
        <w:ind w:left="786"/>
        <w:jc w:val="both"/>
        <w:rPr>
          <w:color w:val="548DD4" w:themeColor="text2" w:themeTint="99"/>
          <w:sz w:val="20"/>
          <w:szCs w:val="20"/>
          <w:lang w:val="es-ES"/>
        </w:rPr>
      </w:pPr>
      <w:r w:rsidRPr="00044738">
        <w:rPr>
          <w:color w:val="548DD4" w:themeColor="text2" w:themeTint="99"/>
          <w:sz w:val="20"/>
          <w:szCs w:val="20"/>
          <w:lang w:val="es-ES"/>
        </w:rPr>
        <w:t>Tomado de el periódico El País del 19 de Abril de 2011 página social “C”</w:t>
      </w:r>
      <w:r w:rsidR="00624E2A">
        <w:rPr>
          <w:color w:val="548DD4" w:themeColor="text2" w:themeTint="99"/>
          <w:sz w:val="20"/>
          <w:szCs w:val="20"/>
          <w:lang w:val="es-ES"/>
        </w:rPr>
        <w:t xml:space="preserve">       </w:t>
      </w:r>
      <w:r w:rsidRPr="00624E2A">
        <w:rPr>
          <w:sz w:val="20"/>
          <w:szCs w:val="20"/>
          <w:lang w:val="es-ES"/>
        </w:rPr>
        <w:t>Cali, Abril 19 de 2011</w:t>
      </w:r>
    </w:p>
    <w:sectPr w:rsidR="00044738" w:rsidRPr="00624E2A" w:rsidSect="00624E2A">
      <w:pgSz w:w="12240" w:h="15840"/>
      <w:pgMar w:top="1134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3AB"/>
    <w:multiLevelType w:val="hybridMultilevel"/>
    <w:tmpl w:val="F0FA3D32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56F94"/>
    <w:rsid w:val="00044738"/>
    <w:rsid w:val="00052F0D"/>
    <w:rsid w:val="000C1BEE"/>
    <w:rsid w:val="00131565"/>
    <w:rsid w:val="00146E2F"/>
    <w:rsid w:val="001F2FFD"/>
    <w:rsid w:val="001F7693"/>
    <w:rsid w:val="00225E68"/>
    <w:rsid w:val="0027477C"/>
    <w:rsid w:val="002974A1"/>
    <w:rsid w:val="0030411C"/>
    <w:rsid w:val="0036032D"/>
    <w:rsid w:val="00377961"/>
    <w:rsid w:val="003E18DA"/>
    <w:rsid w:val="003F6BC5"/>
    <w:rsid w:val="00594346"/>
    <w:rsid w:val="00624E2A"/>
    <w:rsid w:val="007251F7"/>
    <w:rsid w:val="00923EF5"/>
    <w:rsid w:val="00965D98"/>
    <w:rsid w:val="009970FF"/>
    <w:rsid w:val="00A076F3"/>
    <w:rsid w:val="00A30D5C"/>
    <w:rsid w:val="00AF06F9"/>
    <w:rsid w:val="00B56F94"/>
    <w:rsid w:val="00B611F3"/>
    <w:rsid w:val="00BC5942"/>
    <w:rsid w:val="00BD79F7"/>
    <w:rsid w:val="00BE2B20"/>
    <w:rsid w:val="00BE6A26"/>
    <w:rsid w:val="00CB043C"/>
    <w:rsid w:val="00CB0A12"/>
    <w:rsid w:val="00D14ACD"/>
    <w:rsid w:val="00D559D1"/>
    <w:rsid w:val="00D70E6D"/>
    <w:rsid w:val="00D9376D"/>
    <w:rsid w:val="00DE5667"/>
    <w:rsid w:val="00E03AE2"/>
    <w:rsid w:val="00F23EF6"/>
    <w:rsid w:val="00F525C2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D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E51D6-45FF-42F8-9A48-71C9E6563293}" type="doc">
      <dgm:prSet loTypeId="urn:microsoft.com/office/officeart/2005/8/layout/target1" loCatId="relationship" qsTypeId="urn:microsoft.com/office/officeart/2005/8/quickstyle/simple1" qsCatId="simple" csTypeId="urn:microsoft.com/office/officeart/2005/8/colors/accent1_2" csCatId="accent1" phldr="1"/>
      <dgm:spPr/>
    </dgm:pt>
    <dgm:pt modelId="{3F62A0F3-3C51-4837-A9FA-688D61B870D0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CO" sz="800">
              <a:solidFill>
                <a:srgbClr val="002060"/>
              </a:solidFill>
            </a:rPr>
            <a:t>Emocionales</a:t>
          </a:r>
        </a:p>
      </dgm:t>
    </dgm:pt>
    <dgm:pt modelId="{61E6F03E-B14B-4221-BBFB-225D216AF7D6}" type="parTrans" cxnId="{8B694886-7294-410D-9783-665AE96DF94B}">
      <dgm:prSet/>
      <dgm:spPr/>
      <dgm:t>
        <a:bodyPr/>
        <a:lstStyle/>
        <a:p>
          <a:endParaRPr lang="es-CO"/>
        </a:p>
      </dgm:t>
    </dgm:pt>
    <dgm:pt modelId="{88CFCF28-B892-4672-B034-204834589F33}" type="sibTrans" cxnId="{8B694886-7294-410D-9783-665AE96DF94B}">
      <dgm:prSet/>
      <dgm:spPr/>
      <dgm:t>
        <a:bodyPr/>
        <a:lstStyle/>
        <a:p>
          <a:endParaRPr lang="es-CO"/>
        </a:p>
      </dgm:t>
    </dgm:pt>
    <dgm:pt modelId="{E2536BA0-A146-430F-9193-6C278BF983CA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CO" sz="800">
              <a:solidFill>
                <a:srgbClr val="002060"/>
              </a:solidFill>
            </a:rPr>
            <a:t>Intelectuales</a:t>
          </a:r>
        </a:p>
      </dgm:t>
    </dgm:pt>
    <dgm:pt modelId="{EC9AB649-2EA9-4DBD-8A7E-429198557E24}" type="parTrans" cxnId="{306B0C49-C1DD-4BB5-AF30-E7D4116FCC00}">
      <dgm:prSet/>
      <dgm:spPr/>
      <dgm:t>
        <a:bodyPr/>
        <a:lstStyle/>
        <a:p>
          <a:endParaRPr lang="es-CO"/>
        </a:p>
      </dgm:t>
    </dgm:pt>
    <dgm:pt modelId="{51F31436-C001-4E90-9B92-09E62F680315}" type="sibTrans" cxnId="{306B0C49-C1DD-4BB5-AF30-E7D4116FCC00}">
      <dgm:prSet/>
      <dgm:spPr/>
      <dgm:t>
        <a:bodyPr/>
        <a:lstStyle/>
        <a:p>
          <a:endParaRPr lang="es-CO"/>
        </a:p>
      </dgm:t>
    </dgm:pt>
    <dgm:pt modelId="{0231D38D-9F36-42D6-BEAC-74500E7A1885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CO" sz="800">
              <a:solidFill>
                <a:srgbClr val="002060"/>
              </a:solidFill>
            </a:rPr>
            <a:t>Sociales</a:t>
          </a:r>
        </a:p>
      </dgm:t>
    </dgm:pt>
    <dgm:pt modelId="{1854E072-6B11-4DF4-AB16-9D3F8FA1C176}" type="parTrans" cxnId="{239B5BDA-1EF6-4269-A27C-8D3F4E267A48}">
      <dgm:prSet/>
      <dgm:spPr/>
      <dgm:t>
        <a:bodyPr/>
        <a:lstStyle/>
        <a:p>
          <a:endParaRPr lang="es-CO"/>
        </a:p>
      </dgm:t>
    </dgm:pt>
    <dgm:pt modelId="{DBFA1E4A-80F2-45DD-9657-BB0DD52942B4}" type="sibTrans" cxnId="{239B5BDA-1EF6-4269-A27C-8D3F4E267A48}">
      <dgm:prSet/>
      <dgm:spPr/>
      <dgm:t>
        <a:bodyPr/>
        <a:lstStyle/>
        <a:p>
          <a:endParaRPr lang="es-CO"/>
        </a:p>
      </dgm:t>
    </dgm:pt>
    <dgm:pt modelId="{2491C958-A009-40FC-A3A6-4280E5A970B3}" type="pres">
      <dgm:prSet presAssocID="{D3BE51D6-45FF-42F8-9A48-71C9E6563293}" presName="composite" presStyleCnt="0">
        <dgm:presLayoutVars>
          <dgm:chMax val="5"/>
          <dgm:dir/>
          <dgm:resizeHandles val="exact"/>
        </dgm:presLayoutVars>
      </dgm:prSet>
      <dgm:spPr/>
    </dgm:pt>
    <dgm:pt modelId="{00A5785B-8ECE-46BF-881A-5F6B3AA86B0F}" type="pres">
      <dgm:prSet presAssocID="{3F62A0F3-3C51-4837-A9FA-688D61B870D0}" presName="circle1" presStyleLbl="lnNode1" presStyleIdx="0" presStyleCnt="3" custLinFactNeighborX="2719" custLinFactNeighborY="-20325"/>
      <dgm:spPr/>
    </dgm:pt>
    <dgm:pt modelId="{A9AEB8F2-D1A0-48B3-BB7A-D4241641BB4C}" type="pres">
      <dgm:prSet presAssocID="{3F62A0F3-3C51-4837-A9FA-688D61B870D0}" presName="text1" presStyleLbl="revTx" presStyleIdx="0" presStyleCnt="3" custScaleX="13093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1F661FE-2B25-4D54-8086-D83B38351CD3}" type="pres">
      <dgm:prSet presAssocID="{3F62A0F3-3C51-4837-A9FA-688D61B870D0}" presName="line1" presStyleLbl="callout" presStyleIdx="0" presStyleCnt="6" custFlipVert="1" custSzY="45720" custScaleX="37372"/>
      <dgm:spPr/>
    </dgm:pt>
    <dgm:pt modelId="{C8E07B58-02C2-4892-8306-3E55624BBD1E}" type="pres">
      <dgm:prSet presAssocID="{3F62A0F3-3C51-4837-A9FA-688D61B870D0}" presName="d1" presStyleLbl="callout" presStyleIdx="1" presStyleCnt="6" custScaleX="111216" custScaleY="105668"/>
      <dgm:spPr/>
    </dgm:pt>
    <dgm:pt modelId="{7A8332AD-E047-417D-B6C7-AF09DC664353}" type="pres">
      <dgm:prSet presAssocID="{E2536BA0-A146-430F-9193-6C278BF983CA}" presName="circle2" presStyleLbl="lnNode1" presStyleIdx="1" presStyleCnt="3"/>
      <dgm:spPr/>
    </dgm:pt>
    <dgm:pt modelId="{88960925-3BFF-4A24-8BDD-0AC40CFB5EC8}" type="pres">
      <dgm:prSet presAssocID="{E2536BA0-A146-430F-9193-6C278BF983CA}" presName="text2" presStyleLbl="revTx" presStyleIdx="1" presStyleCnt="3" custScaleX="124522" custScaleY="12648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A5EBA84-0436-4EB1-8D3A-04719E954DE7}" type="pres">
      <dgm:prSet presAssocID="{E2536BA0-A146-430F-9193-6C278BF983CA}" presName="line2" presStyleLbl="callout" presStyleIdx="2" presStyleCnt="6"/>
      <dgm:spPr/>
    </dgm:pt>
    <dgm:pt modelId="{BE72AE40-3924-4282-A06F-7627FAF1C8FB}" type="pres">
      <dgm:prSet presAssocID="{E2536BA0-A146-430F-9193-6C278BF983CA}" presName="d2" presStyleLbl="callout" presStyleIdx="3" presStyleCnt="6"/>
      <dgm:spPr/>
    </dgm:pt>
    <dgm:pt modelId="{540B42BD-786F-4197-8008-B79209C8022F}" type="pres">
      <dgm:prSet presAssocID="{0231D38D-9F36-42D6-BEAC-74500E7A1885}" presName="circle3" presStyleLbl="lnNode1" presStyleIdx="2" presStyleCnt="3"/>
      <dgm:spPr/>
    </dgm:pt>
    <dgm:pt modelId="{8B4407AF-B25E-4910-BE93-5A98543E18FA}" type="pres">
      <dgm:prSet presAssocID="{0231D38D-9F36-42D6-BEAC-74500E7A1885}" presName="text3" presStyleLbl="revTx" presStyleIdx="2" presStyleCnt="3" custScaleX="11498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829D2A2-6C18-44F3-9CBD-FB524298D9DC}" type="pres">
      <dgm:prSet presAssocID="{0231D38D-9F36-42D6-BEAC-74500E7A1885}" presName="line3" presStyleLbl="callout" presStyleIdx="4" presStyleCnt="6"/>
      <dgm:spPr/>
    </dgm:pt>
    <dgm:pt modelId="{30833049-18BD-43E3-B1CA-5B5F70E0F48A}" type="pres">
      <dgm:prSet presAssocID="{0231D38D-9F36-42D6-BEAC-74500E7A1885}" presName="d3" presStyleLbl="callout" presStyleIdx="5" presStyleCnt="6"/>
      <dgm:spPr/>
    </dgm:pt>
  </dgm:ptLst>
  <dgm:cxnLst>
    <dgm:cxn modelId="{239B5BDA-1EF6-4269-A27C-8D3F4E267A48}" srcId="{D3BE51D6-45FF-42F8-9A48-71C9E6563293}" destId="{0231D38D-9F36-42D6-BEAC-74500E7A1885}" srcOrd="2" destOrd="0" parTransId="{1854E072-6B11-4DF4-AB16-9D3F8FA1C176}" sibTransId="{DBFA1E4A-80F2-45DD-9657-BB0DD52942B4}"/>
    <dgm:cxn modelId="{ACD5C9B0-1CB7-4AB6-B01B-948D0FC12667}" type="presOf" srcId="{E2536BA0-A146-430F-9193-6C278BF983CA}" destId="{88960925-3BFF-4A24-8BDD-0AC40CFB5EC8}" srcOrd="0" destOrd="0" presId="urn:microsoft.com/office/officeart/2005/8/layout/target1"/>
    <dgm:cxn modelId="{E7170B83-1023-42EC-92BB-6846E96A7AE3}" type="presOf" srcId="{3F62A0F3-3C51-4837-A9FA-688D61B870D0}" destId="{A9AEB8F2-D1A0-48B3-BB7A-D4241641BB4C}" srcOrd="0" destOrd="0" presId="urn:microsoft.com/office/officeart/2005/8/layout/target1"/>
    <dgm:cxn modelId="{96FB8276-9F91-48D0-A4AC-AF992D4FC594}" type="presOf" srcId="{D3BE51D6-45FF-42F8-9A48-71C9E6563293}" destId="{2491C958-A009-40FC-A3A6-4280E5A970B3}" srcOrd="0" destOrd="0" presId="urn:microsoft.com/office/officeart/2005/8/layout/target1"/>
    <dgm:cxn modelId="{8B694886-7294-410D-9783-665AE96DF94B}" srcId="{D3BE51D6-45FF-42F8-9A48-71C9E6563293}" destId="{3F62A0F3-3C51-4837-A9FA-688D61B870D0}" srcOrd="0" destOrd="0" parTransId="{61E6F03E-B14B-4221-BBFB-225D216AF7D6}" sibTransId="{88CFCF28-B892-4672-B034-204834589F33}"/>
    <dgm:cxn modelId="{1F90B1B5-8F25-4F10-B265-6F2EC9604094}" type="presOf" srcId="{0231D38D-9F36-42D6-BEAC-74500E7A1885}" destId="{8B4407AF-B25E-4910-BE93-5A98543E18FA}" srcOrd="0" destOrd="0" presId="urn:microsoft.com/office/officeart/2005/8/layout/target1"/>
    <dgm:cxn modelId="{306B0C49-C1DD-4BB5-AF30-E7D4116FCC00}" srcId="{D3BE51D6-45FF-42F8-9A48-71C9E6563293}" destId="{E2536BA0-A146-430F-9193-6C278BF983CA}" srcOrd="1" destOrd="0" parTransId="{EC9AB649-2EA9-4DBD-8A7E-429198557E24}" sibTransId="{51F31436-C001-4E90-9B92-09E62F680315}"/>
    <dgm:cxn modelId="{683A70C4-2F98-44D3-9E9C-049A9FD64A8D}" type="presParOf" srcId="{2491C958-A009-40FC-A3A6-4280E5A970B3}" destId="{00A5785B-8ECE-46BF-881A-5F6B3AA86B0F}" srcOrd="0" destOrd="0" presId="urn:microsoft.com/office/officeart/2005/8/layout/target1"/>
    <dgm:cxn modelId="{049369D4-8FBE-4ED2-8380-07FA5556303A}" type="presParOf" srcId="{2491C958-A009-40FC-A3A6-4280E5A970B3}" destId="{A9AEB8F2-D1A0-48B3-BB7A-D4241641BB4C}" srcOrd="1" destOrd="0" presId="urn:microsoft.com/office/officeart/2005/8/layout/target1"/>
    <dgm:cxn modelId="{8EED76E2-8DDE-4CCE-872A-6FAC1FB7E627}" type="presParOf" srcId="{2491C958-A009-40FC-A3A6-4280E5A970B3}" destId="{71F661FE-2B25-4D54-8086-D83B38351CD3}" srcOrd="2" destOrd="0" presId="urn:microsoft.com/office/officeart/2005/8/layout/target1"/>
    <dgm:cxn modelId="{075B21DF-1EAC-48BB-858B-DCABF157B961}" type="presParOf" srcId="{2491C958-A009-40FC-A3A6-4280E5A970B3}" destId="{C8E07B58-02C2-4892-8306-3E55624BBD1E}" srcOrd="3" destOrd="0" presId="urn:microsoft.com/office/officeart/2005/8/layout/target1"/>
    <dgm:cxn modelId="{EB43C2E0-8F41-4146-A92A-D639718C471D}" type="presParOf" srcId="{2491C958-A009-40FC-A3A6-4280E5A970B3}" destId="{7A8332AD-E047-417D-B6C7-AF09DC664353}" srcOrd="4" destOrd="0" presId="urn:microsoft.com/office/officeart/2005/8/layout/target1"/>
    <dgm:cxn modelId="{20807D64-10C4-4F74-81C1-94C682AFC9C2}" type="presParOf" srcId="{2491C958-A009-40FC-A3A6-4280E5A970B3}" destId="{88960925-3BFF-4A24-8BDD-0AC40CFB5EC8}" srcOrd="5" destOrd="0" presId="urn:microsoft.com/office/officeart/2005/8/layout/target1"/>
    <dgm:cxn modelId="{26ADE936-CAC5-4820-A5BE-58CA031348D5}" type="presParOf" srcId="{2491C958-A009-40FC-A3A6-4280E5A970B3}" destId="{3A5EBA84-0436-4EB1-8D3A-04719E954DE7}" srcOrd="6" destOrd="0" presId="urn:microsoft.com/office/officeart/2005/8/layout/target1"/>
    <dgm:cxn modelId="{0608CC41-0967-4A0B-8C75-0240F22F4084}" type="presParOf" srcId="{2491C958-A009-40FC-A3A6-4280E5A970B3}" destId="{BE72AE40-3924-4282-A06F-7627FAF1C8FB}" srcOrd="7" destOrd="0" presId="urn:microsoft.com/office/officeart/2005/8/layout/target1"/>
    <dgm:cxn modelId="{2E061CAF-182E-4DCF-8B49-481412314E16}" type="presParOf" srcId="{2491C958-A009-40FC-A3A6-4280E5A970B3}" destId="{540B42BD-786F-4197-8008-B79209C8022F}" srcOrd="8" destOrd="0" presId="urn:microsoft.com/office/officeart/2005/8/layout/target1"/>
    <dgm:cxn modelId="{8EDFF14D-72F8-4395-A879-3ABE2C625C13}" type="presParOf" srcId="{2491C958-A009-40FC-A3A6-4280E5A970B3}" destId="{8B4407AF-B25E-4910-BE93-5A98543E18FA}" srcOrd="9" destOrd="0" presId="urn:microsoft.com/office/officeart/2005/8/layout/target1"/>
    <dgm:cxn modelId="{B4D29B96-4F26-4F3C-8609-E0112861E291}" type="presParOf" srcId="{2491C958-A009-40FC-A3A6-4280E5A970B3}" destId="{6829D2A2-6C18-44F3-9CBD-FB524298D9DC}" srcOrd="10" destOrd="0" presId="urn:microsoft.com/office/officeart/2005/8/layout/target1"/>
    <dgm:cxn modelId="{0E5D9907-8999-4BF0-836C-8B0C26BE31D3}" type="presParOf" srcId="{2491C958-A009-40FC-A3A6-4280E5A970B3}" destId="{30833049-18BD-43E3-B1CA-5B5F70E0F48A}" srcOrd="11" destOrd="0" presId="urn:microsoft.com/office/officeart/2005/8/layout/targe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2011-04-19T22:36:00Z</dcterms:created>
  <dcterms:modified xsi:type="dcterms:W3CDTF">2011-05-14T13:24:00Z</dcterms:modified>
</cp:coreProperties>
</file>